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b/>
          <w:bCs/>
          <w:color w:val="0EA58F"/>
          <w:sz w:val="44"/>
          <w:szCs w:val="44"/>
        </w:rPr>
        <w:t xml:space="preserve">PLAN WYCHOWAWCZY</w:t>
      </w:r>
    </w:p>
    <w:p>
      <w:pPr>
        <w:spacing w:after="60"/>
        <w:jc w:val="center"/>
      </w:pPr>
      <w:r>
        <w:rPr>
          <w:color w:val="111111"/>
          <w:sz w:val="23"/>
          <w:szCs w:val="23"/>
        </w:rPr>
        <w:t xml:space="preserve">Porozumienie rodziców o sposobie wykonywania władzy rodzicielskiej</w:t>
      </w:r>
    </w:p>
    <w:p>
      <w:pPr>
        <w:spacing w:after="200"/>
        <w:jc w:val="center"/>
      </w:pPr>
      <w:r>
        <w:rPr>
          <w:color w:val="111111"/>
          <w:sz w:val="23"/>
          <w:szCs w:val="23"/>
        </w:rPr>
        <w:t xml:space="preserve">i utrzymywaniu kontaktów z dzieckiem</w:t>
      </w:r>
    </w:p>
    <w:p>
      <w:pPr>
        <w:spacing w:after="240"/>
        <w:jc w:val="center"/>
      </w:pPr>
      <w:r>
        <w:rPr>
          <w:color w:val="111111"/>
          <w:sz w:val="21"/>
          <w:szCs w:val="21"/>
        </w:rPr>
        <w:t xml:space="preserve">zawarte dnia ……………… w ………………………………</w:t>
      </w:r>
    </w:p>
    <w:p>
      <w:pPr>
        <w:shd w:fill="F5F3EE" w:val="clear"/>
        <w:spacing w:after="60" w:before="120"/>
      </w:pPr>
      <w:r>
        <w:rPr>
          <w:b/>
          <w:bCs/>
          <w:color w:val="111111"/>
          <w:sz w:val="21"/>
          <w:szCs w:val="21"/>
        </w:rPr>
        <w:t xml:space="preserve">Jak korzystać z tego wzoru</w:t>
      </w:r>
    </w:p>
    <w:p>
      <w:pPr>
        <w:shd w:fill="F5F3EE" w:val="clear"/>
        <w:spacing w:after="40"/>
      </w:pPr>
      <w:r>
        <w:rPr>
          <w:color w:val="111111"/>
          <w:sz w:val="19"/>
          <w:szCs w:val="19"/>
        </w:rPr>
        <w:t xml:space="preserve">Wypełnijcie wzór wspólnie. Zaznaczcie pasujące opcje (☐), uzupełnijcie wykropkowane pola, a punkty, które Was nie dotyczą – usuńcie. Plan można załączyć do pozwu rozwodowego (art. 58 § 1 Kodeksu rodzinnego i opiekuńczego), do wniosku w sprawie władzy rodzicielskiej lub do porozumienia zawartego przed mediatorem.</w:t>
      </w:r>
    </w:p>
    <w:p>
      <w:pPr>
        <w:shd w:fill="F5F3EE" w:val="clear"/>
        <w:spacing w:after="160"/>
      </w:pPr>
      <w:r>
        <w:rPr>
          <w:i/>
          <w:iCs/>
          <w:color w:val="6B6B6B"/>
          <w:sz w:val="19"/>
          <w:szCs w:val="19"/>
        </w:rPr>
        <w:t xml:space="preserve">Wzór ma charakter informacyjny i nie stanowi porady prawnej. W sytuacjach spornych skonsultujcie treść planu z mediatorem rodzinnym lub prawnikiem.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1. Rodzice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6"/>
        <w:gridCol w:w="3181"/>
        <w:gridCol w:w="3181"/>
      </w:tblGrid>
      <w:tr>
        <w:tc>
          <w:tcPr>
            <w:tcW w:type="dxa" w:w="32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318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Matka</w:t>
            </w:r>
          </w:p>
        </w:tc>
        <w:tc>
          <w:tcPr>
            <w:tcW w:type="dxa" w:w="318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Ojciec</w:t>
            </w:r>
          </w:p>
        </w:tc>
      </w:tr>
      <w:tr>
        <w:tc>
          <w:tcPr>
            <w:tcW w:type="dxa" w:w="32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318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318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Adres zamieszkania</w:t>
            </w:r>
          </w:p>
        </w:tc>
        <w:tc>
          <w:tcPr>
            <w:tcW w:type="dxa" w:w="318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318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Telefon</w:t>
            </w:r>
          </w:p>
        </w:tc>
        <w:tc>
          <w:tcPr>
            <w:tcW w:type="dxa" w:w="318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318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E-mail</w:t>
            </w:r>
          </w:p>
        </w:tc>
        <w:tc>
          <w:tcPr>
            <w:tcW w:type="dxa" w:w="318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318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2. Dzieci objęte planem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Imię i nazwisko dziecka</w:t>
            </w:r>
          </w:p>
        </w:tc>
        <w:tc>
          <w:tcPr>
            <w:tcW w:type="dxa" w:w="4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Data urodzenia</w:t>
            </w:r>
          </w:p>
        </w:tc>
      </w:tr>
      <w:tr>
        <w:tc>
          <w:tcPr>
            <w:tcW w:type="dxa" w:w="5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40"/>
      </w:pPr>
      <w:r>
        <w:rPr>
          <w:i/>
          <w:iCs/>
          <w:color w:val="6B6B6B"/>
          <w:sz w:val="19"/>
          <w:szCs w:val="19"/>
        </w:rPr>
        <w:t xml:space="preserve">Dalej w planie słowo „dziecko” oznacza każde z dzieci wymienionych powyżej.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3. Miejsce zamieszkania dziecka</w:t>
      </w:r>
    </w:p>
    <w:p>
      <w:pPr>
        <w:spacing w:after="60" w:before="60"/>
      </w:pPr>
      <w:r>
        <w:rPr>
          <w:color w:val="111111"/>
          <w:sz w:val="21"/>
          <w:szCs w:val="21"/>
        </w:rPr>
        <w:t xml:space="preserve">Miejscem zamieszkania dziecka jest:</w:t>
      </w:r>
    </w:p>
    <w:p>
      <w:pPr>
        <w:spacing w:after="40" w:before="40"/>
        <w:ind w:left="340"/>
      </w:pPr>
      <w:r>
        <w:rPr>
          <w:color w:val="0EA58F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miejsce zamieszkania matki</w:t>
      </w:r>
    </w:p>
    <w:p>
      <w:pPr>
        <w:spacing w:after="40" w:before="40"/>
        <w:ind w:left="340"/>
      </w:pPr>
      <w:r>
        <w:rPr>
          <w:color w:val="0EA58F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miejsce zamieszkania ojca</w:t>
      </w:r>
    </w:p>
    <w:p>
      <w:pPr>
        <w:spacing w:after="100" w:before="40"/>
      </w:pPr>
      <w:r>
        <w:rPr>
          <w:i/>
          <w:iCs/>
          <w:color w:val="6B6B6B"/>
          <w:sz w:val="19"/>
          <w:szCs w:val="19"/>
        </w:rPr>
        <w:t xml:space="preserve">Formalne miejsce zamieszkania (np. do celów meldunkowych, szkoły, przychodni) to co innego niż harmonogram opieki – ten ustalacie w § 5.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4. Władza rodzicielska</w:t>
      </w:r>
    </w:p>
    <w:p>
      <w:pPr>
        <w:spacing w:after="40" w:before="40"/>
        <w:ind w:left="340"/>
      </w:pPr>
      <w:r>
        <w:rPr>
          <w:color w:val="0EA58F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Władza rodzicielska przysługuje obojgu rodzicom w pełnym zakresie.</w:t>
      </w:r>
    </w:p>
    <w:p>
      <w:pPr>
        <w:spacing w:after="40" w:before="40"/>
        <w:ind w:left="340"/>
      </w:pPr>
      <w:r>
        <w:rPr>
          <w:color w:val="0EA58F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Inaczej: ………………………………………………</w:t>
      </w:r>
    </w:p>
    <w:p>
      <w:pPr>
        <w:spacing w:after="60" w:before="60"/>
      </w:pPr>
      <w:r>
        <w:rPr>
          <w:color w:val="111111"/>
          <w:sz w:val="21"/>
          <w:szCs w:val="21"/>
        </w:rPr>
        <w:t xml:space="preserve">Decyzje istotne dla dziecka (wybór szkoły, leczenie, wyjazdy zagraniczne, wybór zajęć, religia) rodzice podejmują wspólnie.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5. Opieka w tygodniach szkolnych</w:t>
      </w:r>
    </w:p>
    <w:p>
      <w:pPr>
        <w:spacing w:after="60" w:before="60"/>
      </w:pPr>
      <w:r>
        <w:rPr>
          <w:color w:val="111111"/>
          <w:sz w:val="21"/>
          <w:szCs w:val="21"/>
        </w:rPr>
        <w:t xml:space="preserve">Dziecko przebywa pod opieką rodziców według schematu:</w:t>
      </w:r>
    </w:p>
    <w:p>
      <w:pPr>
        <w:spacing w:after="40" w:before="40"/>
        <w:ind w:left="340"/>
      </w:pPr>
      <w:r>
        <w:rPr>
          <w:color w:val="0EA58F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Opieka naprzemienna tydzień u mamy / tydzień u taty, zamiana w ……………… o godz. ………………</w:t>
      </w:r>
    </w:p>
    <w:p>
      <w:pPr>
        <w:spacing w:after="40" w:before="40"/>
        <w:ind w:left="340"/>
      </w:pPr>
      <w:r>
        <w:rPr>
          <w:color w:val="0EA58F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Schemat 2-2-3: poniedziałek–wtorek u ………………, środa–czwartek u ………………, weekend naprzemiennie</w:t>
      </w:r>
    </w:p>
    <w:p>
      <w:pPr>
        <w:spacing w:after="40" w:before="40"/>
        <w:ind w:left="340"/>
      </w:pPr>
      <w:r>
        <w:rPr>
          <w:color w:val="0EA58F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Dziecko mieszka u ………………, a u drugiego rodzica przebywa w co drugi weekend od ……………… do ……………… oraz w ……………… każdego tygodnia</w:t>
      </w:r>
    </w:p>
    <w:p>
      <w:pPr>
        <w:spacing w:after="40" w:before="40"/>
        <w:ind w:left="340"/>
      </w:pPr>
      <w:r>
        <w:rPr>
          <w:color w:val="0EA58F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Inny schemat: ………………………………………………</w:t>
      </w:r>
    </w:p>
    <w:p>
      <w:pPr>
        <w:spacing w:after="60" w:before="140"/>
      </w:pPr>
      <w:r>
        <w:rPr>
          <w:color w:val="111111"/>
          <w:sz w:val="21"/>
          <w:szCs w:val="21"/>
        </w:rPr>
        <w:t xml:space="preserve">Przekazanie dziecka: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miejsce przekazania: ………………………………………………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dziecko odbiera / odwozi: ………………………………………………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o spóźnieniu powyżej 15 minut rodzic uprzedza telefonicznie lub wiadomością</w:t>
      </w:r>
    </w:p>
    <w:p>
      <w:pPr>
        <w:spacing w:after="100" w:before="40"/>
      </w:pPr>
      <w:r>
        <w:rPr>
          <w:i/>
          <w:iCs/>
          <w:color w:val="6B6B6B"/>
          <w:sz w:val="19"/>
          <w:szCs w:val="19"/>
        </w:rPr>
        <w:t xml:space="preserve">Przy przekazaniu obowiązuje zasada: spokojnie i krótko. Dziecko obserwuje, jak rodzice się do siebie odnoszą.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6. Święta i dni szczególne</w:t>
      </w:r>
    </w:p>
    <w:p>
      <w:pPr>
        <w:spacing w:after="60" w:before="60"/>
      </w:pPr>
      <w:r>
        <w:rPr>
          <w:color w:val="111111"/>
          <w:sz w:val="21"/>
          <w:szCs w:val="21"/>
        </w:rPr>
        <w:t xml:space="preserve">W dni wymienione niżej dziecko przebywa u wskazanego rodzica (wpiszcie: mama / tata). Ustalenia świąteczne mają pierwszeństwo przed harmonogramem z § 5.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2891"/>
        <w:gridCol w:w="2892"/>
      </w:tblGrid>
      <w:tr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Dzień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Lata parzyste</w:t>
            </w:r>
          </w:p>
        </w:tc>
        <w:tc>
          <w:tcPr>
            <w:tcW w:type="dxa" w:w="289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F6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11111"/>
                <w:sz w:val="20"/>
                <w:szCs w:val="20"/>
              </w:rPr>
              <w:t xml:space="preserve">Lata nieparzyste</w:t>
            </w:r>
          </w:p>
        </w:tc>
      </w:tr>
      <w:tr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Wigilia (24.12)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Boże Narodzenie (25–26.12)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Sylwester i Nowy Rok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Wielka Sobota i Niedziela Wielkanocna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Poniedziałek Wielkanocny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Majowy długi weekend (1–3.05)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Urodziny dziecka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Dzień Matki (26.05)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Dzień Ojca (23.06)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89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2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7. Wakacje, ferie i wyjazdy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Wakacje letnie: każdy z rodziców spędza z dzieckiem ……………… tygodni(e). Terminy uzgadniane są najpóźniej do 30 kwietnia.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Ferie zimowe: dzielą się po połowie / spędza je ………………. Terminy uzgadniane najpóźniej do 30 listopada.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W czasie wyjazdu rodzic zapewnia dziecku kontakt z drugim rodzicem (§ 8).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O wyjeździe zagranicznym rodzic informuje drugiego rodzica najpóźniej ……………… dni przed wyjazdem, podając miejsce pobytu i termin powrotu.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Paszport / dowód dziecka przechowuje ……………… i przekazuje go na czas wyjazdu.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8. Kontakt na odległość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Dziecko może w każdej chwili zadzwonić lub napisać do każdego z rodziców – żaden z rodziców tego nie ogranicza ani nie komentuje.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Rodzic, u którego dziecko aktualnie nie przebywa, może kontaktować się z nim telefonicznie / wideo w dni: ……………… w godzinach ……………….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9. Zdrowie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Lekarz pierwszego kontaktu / przychodnia: ………………………………………………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O chorobie, urazie lub wizycie lekarskiej rodzic informuje drugiego rodzica tego samego dnia.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Decyzje o leczeniu, zabiegach i szczepieniach rodzice podejmują wspólnie; w nagłych przypadkach decyduje rodzic obecny przy dziecku i niezwłocznie informuje drugiego.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Oboje rodzice mają dostęp do dokumentacji medycznej dziecka i recept.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Leki stałe, alergie i dawkowanie są zapisane w miejscu dostępnym dla obojga rodziców: ………………………………………………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10. Edukacja i zajęcia dodatkowe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Oboje rodzice mają dostęp do dziennika elektronicznego i kontakt ze szkołą / przedszkolem.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O zebraniach, wycieczkach i wydarzeniach szkolnych rodzice informują się nawzajem niezwłocznie.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Zajęcia dodatkowe dziecka: ………………………………………………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Zapisanie dziecka na nowe zajęcia stałe wymaga zgody obojga rodziców, jeśli wpływa na czas opieki drugiego rodzica lub wiąże się z kosztami dzielonymi.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11. Koszty utrzymania dziecka</w:t>
      </w:r>
    </w:p>
    <w:p>
      <w:pPr>
        <w:spacing w:after="60" w:before="60"/>
      </w:pPr>
      <w:r>
        <w:rPr>
          <w:color w:val="111111"/>
          <w:sz w:val="21"/>
          <w:szCs w:val="21"/>
        </w:rPr>
        <w:t xml:space="preserve">Alimenty: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……………… płaci na rzecz dziecka kwotę ……………… zł miesięcznie, do ………………. dnia miesiąca, na rachunek: ………………………………………………</w:t>
      </w:r>
    </w:p>
    <w:p>
      <w:pPr>
        <w:spacing w:after="60" w:before="140"/>
      </w:pPr>
      <w:r>
        <w:rPr>
          <w:color w:val="111111"/>
          <w:sz w:val="21"/>
          <w:szCs w:val="21"/>
        </w:rPr>
        <w:t xml:space="preserve">Koszty dodatkowe (nieobjęte alimentami):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kategorie dzielone: leczenie i leki, wyprawka szkolna, zajęcia dodatkowe, obozy i wycieczki, sprzęt sportowy, ………………………………………………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podział: ☐ po połowie (50/50)   ☐ proporcjonalnie do dochodów: ……………… / ………………   ☐ inaczej: ………………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wydatek dokumentujemy paragonem lub fakturą; zwrot następuje w ciągu ……………… dni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wydatki powyżej ……………… zł uzgadniamy przed zakupem</w:t>
      </w:r>
    </w:p>
    <w:p>
      <w:pPr>
        <w:spacing w:after="100" w:before="40"/>
      </w:pPr>
      <w:r>
        <w:rPr>
          <w:i/>
          <w:iCs/>
          <w:color w:val="6B6B6B"/>
          <w:sz w:val="19"/>
          <w:szCs w:val="19"/>
        </w:rPr>
        <w:t xml:space="preserve">W praktyce najwięcej konfliktów rodzi brak wspólnej ewidencji. Prowadźcie jeden wspólny rejestr wydatków z paragonami i bieżącym saldem – na papierze, w arkuszu lub w aplikacji (np. do-do.app).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12. Zasady komunikacji rodziców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Sprawy dziecka omawiamy przez: ☐ wiadomości   ☐ telefon   ☐ wspólny kalendarz / aplikację: ………………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Na wiadomość w sprawie dziecka odpowiadamy najpóźniej w ciągu 24 godzin (w sprawach pilnych – niezwłocznie).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Dziecko nigdy nie przekazuje informacji między rodzicami – ani wiadomości, ani pieniędzy, ani dokumentów.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O dziecku i o drugim rodzicu mówimy przy dziecku z szacunkiem.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Ustalenia zmieniane są wiadomością lub wpisem w kalendarzu, nie ustnie przez dziecko.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13. Nowi partnerzy i osoby trzecie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O zamiarze przedstawienia dziecku nowego partnera / partnerki rodzic informuje drugiego rodzica z wyprzedzeniem.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Opiekę nad dzieckiem mogą sprawować dziadkowie i osoby wskazane: ………………………………………………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14. Zmiany planu i rozwiązywanie sporów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Spory rozwiązujemy w kolejności: rozmowa → mediacja rodzinna → sąd.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Plan przeglądamy wspólnie raz w roku (np. przed rozpoczęciem roku szkolnego) i dostosowujemy do wieku i potrzeb dziecka.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color w:val="111111"/>
          <w:sz w:val="21"/>
          <w:szCs w:val="21"/>
        </w:rPr>
        <w:t xml:space="preserve">Jednorazowe odstępstwa od harmonogramu wymagają zgody drugiego rodzica wyrażonej wiadomością.</w:t>
      </w:r>
    </w:p>
    <w:p>
      <w:pPr>
        <w:pBdr>
          <w:bottom w:val="single" w:color="0EA58F" w:sz="8" w:space="4"/>
        </w:pBdr>
        <w:spacing w:after="160" w:before="360"/>
      </w:pPr>
      <w:r>
        <w:rPr>
          <w:b/>
          <w:bCs/>
          <w:color w:val="111111"/>
          <w:sz w:val="26"/>
          <w:szCs w:val="26"/>
        </w:rPr>
        <w:t xml:space="preserve">§ 15. Postanowienia końcowe</w:t>
      </w:r>
    </w:p>
    <w:p>
      <w:pPr>
        <w:spacing w:after="60" w:before="60"/>
      </w:pPr>
      <w:r>
        <w:rPr>
          <w:color w:val="111111"/>
          <w:sz w:val="21"/>
          <w:szCs w:val="21"/>
        </w:rPr>
        <w:t xml:space="preserve">Plan sporządzono w dwóch jednobrzmiących egzemplarzach, po jednym dla każdego z rodziców. Rodzice zobowiązują się wykonywać go w dobrej wierze, kierując się dobrem dziecka.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Matka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Ojciec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0"/>
              <w:jc w:val="center"/>
            </w:pPr>
            <w:r>
              <w:rPr>
                <w:sz w:val="21"/>
                <w:szCs w:val="21"/>
              </w:rPr>
              <w:t xml:space="preserve">………………………………………………</w:t>
            </w:r>
          </w:p>
          <w:p>
            <w:pPr>
              <w:jc w:val="center"/>
            </w:pPr>
            <w:r>
              <w:rPr>
                <w:color w:val="6B6B6B"/>
                <w:sz w:val="19"/>
                <w:szCs w:val="19"/>
              </w:rPr>
              <w:t xml:space="preserve">data i podpis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0"/>
              <w:jc w:val="center"/>
            </w:pPr>
            <w:r>
              <w:rPr>
                <w:sz w:val="21"/>
                <w:szCs w:val="21"/>
              </w:rPr>
              <w:t xml:space="preserve">………………………………………………</w:t>
            </w:r>
          </w:p>
          <w:p>
            <w:pPr>
              <w:jc w:val="center"/>
            </w:pPr>
            <w:r>
              <w:rPr>
                <w:color w:val="6B6B6B"/>
                <w:sz w:val="19"/>
                <w:szCs w:val="19"/>
              </w:rPr>
              <w:t xml:space="preserve">data i podpis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6B6B"/>
        <w:sz w:val="16"/>
        <w:szCs w:val="16"/>
      </w:rPr>
      <w:t xml:space="preserve">Bezpłatny wzór od do-do.app – wspólny kalendarz opieki, wydatki i ustalenia w jednym miejscu</w:t>
    </w:r>
    <w:r>
      <w:rPr>
        <w:sz w:val="16"/>
        <w:szCs w:val="16"/>
      </w:rPr>
      <w:t xml:space="preserve">	</w:t>
    </w:r>
    <w:r>
      <w:rPr>
        <w:color w:val="6B6B6B"/>
        <w:sz w:val="16"/>
        <w:szCs w:val="16"/>
      </w:rPr>
      <w:t xml:space="preserve">str.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2026-07-05T18:28:47.437Z</dcterms:created>
  <dcterms:modified xsi:type="dcterms:W3CDTF">2026-07-05T18:28:47.437Z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